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rial" w:hAnsi="Arial"/>
          <w:b/>
          <w:color w:val="141414"/>
          <w:sz w:val="36"/>
        </w:rPr>
        <w:t>Arunraj Rajendran (Arun)</w:t>
      </w:r>
    </w:p>
    <w:p>
      <w:pPr>
        <w:spacing w:after="40"/>
        <w:jc w:val="center"/>
      </w:pPr>
      <w:r>
        <w:rPr>
          <w:rFonts w:ascii="Arial" w:hAnsi="Arial"/>
          <w:b/>
          <w:color w:val="233C73"/>
          <w:sz w:val="18"/>
        </w:rPr>
        <w:t>Product Manager - and much more..</w:t>
      </w:r>
    </w:p>
    <w:p>
      <w:pPr>
        <w:spacing w:after="100"/>
        <w:jc w:val="center"/>
      </w:pPr>
      <w:r>
        <w:rPr>
          <w:rFonts w:ascii="Arial" w:hAnsi="Arial"/>
          <w:b w:val="0"/>
          <w:color w:val="555555"/>
          <w:sz w:val="15"/>
        </w:rPr>
        <w:t>Bengaluru, India | arunrajr112@gmail.com | +91 82 8989 5668 | linkedin.com/in/raj-arun | github.com/iarunrajr112</w:t>
      </w:r>
    </w:p>
    <w:p>
      <w:pPr>
        <w:spacing w:before="0" w:after="80" w:line="240" w:lineRule="auto"/>
      </w:pPr>
      <w:r>
        <w:rPr>
          <w:rFonts w:ascii="Arial" w:hAnsi="Arial"/>
          <w:b w:val="0"/>
          <w:color w:val="333333"/>
          <w:sz w:val="16"/>
        </w:rPr>
        <w:t>Product Manager in the GRC and enterprise SaaS domain, building AI-first workflows, localization capabilities, and modernization initiatives for large-scale incident management products. Recent work includes AI-assisted investigations, configurable intake, international expansion, and semantic layer product architecture. Brings 12+ years across B2B SaaS, startups, product ownership, growth, UI/UX, and entrepreneurship.</w:t>
      </w:r>
    </w:p>
    <w:p>
      <w:pPr>
        <w:spacing w:before="140" w:after="50" w:line="240" w:lineRule="auto"/>
      </w:pPr>
      <w:r>
        <w:rPr>
          <w:rFonts w:ascii="Arial" w:hAnsi="Arial"/>
          <w:b/>
          <w:color w:val="233C73"/>
          <w:sz w:val="19"/>
        </w:rPr>
        <w:t>LAST 12 MONTHS IMPACT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$500K incremental bookings from Japanese market expansion in the last 6 months.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Coordinated with Bain on VoC inputs from 200+ customers, prioritizing stabilization and churn-reduction features.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10% of international clients using more than one language.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Built AI workflows for case reports, case narratives, related cases, implicated-party screening, AI analytics, and AI intake.</w:t>
      </w:r>
    </w:p>
    <w:p>
      <w:pPr>
        <w:spacing w:before="140" w:after="50" w:line="240" w:lineRule="auto"/>
      </w:pPr>
      <w:r>
        <w:rPr>
          <w:rFonts w:ascii="Arial" w:hAnsi="Arial"/>
          <w:b/>
          <w:color w:val="233C73"/>
          <w:sz w:val="19"/>
        </w:rPr>
        <w:t>RECENT AI PRODUCT WORK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69"/>
        <w:gridCol w:w="5069"/>
      </w:tblGrid>
      <w:tr>
        <w:tc>
          <w:tcPr>
            <w:tcW w:type="dxa" w:w="5069"/>
            <w:vAlign w:val="top"/>
            <w:shd w:fill="F3F6FB"/>
          </w:tcPr>
          <w:p/>
          <w:p>
            <w:pPr>
              <w:spacing w:before="30" w:after="12" w:line="240" w:lineRule="auto"/>
            </w:pPr>
            <w:r>
              <w:rPr>
                <w:rFonts w:ascii="Arial" w:hAnsi="Arial"/>
                <w:b/>
                <w:color w:val="233C73"/>
                <w:sz w:val="13"/>
              </w:rPr>
              <w:t>ENTERPRISE INVESTIGATIONS</w:t>
            </w:r>
          </w:p>
          <w:p>
            <w:pPr>
              <w:spacing w:before="0" w:after="16" w:line="240" w:lineRule="auto"/>
            </w:pPr>
            <w:r>
              <w:rPr>
                <w:rFonts w:ascii="Arial" w:hAnsi="Arial"/>
                <w:b/>
                <w:color w:val="141414"/>
                <w:sz w:val="16"/>
              </w:rPr>
              <w:t>AI Case Insights</w:t>
            </w:r>
          </w:p>
          <w:p>
            <w:pPr>
              <w:spacing w:before="0" w:after="16" w:line="240" w:lineRule="auto"/>
            </w:pPr>
            <w:r>
              <w:rPr>
                <w:rFonts w:ascii="Arial" w:hAnsi="Arial"/>
                <w:b w:val="0"/>
                <w:color w:val="333333"/>
                <w:sz w:val="15"/>
              </w:rPr>
              <w:t>Shaped an AI-assisted workflow that scans evidence, extracts key facts, builds timelines, and drafts investigation reports for human review.</w:t>
            </w:r>
          </w:p>
          <w:p>
            <w:pPr>
              <w:spacing w:before="0" w:after="24" w:line="240" w:lineRule="auto"/>
            </w:pPr>
            <w:r>
              <w:rPr>
                <w:rFonts w:ascii="Arial" w:hAnsi="Arial"/>
                <w:b/>
                <w:color w:val="333333"/>
                <w:sz w:val="15"/>
              </w:rPr>
              <w:t>Product move: AI fact extraction, timeline view, initial report, and final report generation.</w:t>
            </w:r>
          </w:p>
        </w:tc>
        <w:tc>
          <w:tcPr>
            <w:tcW w:type="dxa" w:w="5069"/>
            <w:vAlign w:val="top"/>
            <w:shd w:fill="F3F6FB"/>
          </w:tcPr>
          <w:p/>
          <w:p>
            <w:pPr>
              <w:spacing w:before="30" w:after="12" w:line="240" w:lineRule="auto"/>
            </w:pPr>
            <w:r>
              <w:rPr>
                <w:rFonts w:ascii="Arial" w:hAnsi="Arial"/>
                <w:b/>
                <w:color w:val="233C73"/>
                <w:sz w:val="13"/>
              </w:rPr>
              <w:t>CASE INTAKE</w:t>
            </w:r>
          </w:p>
          <w:p>
            <w:pPr>
              <w:spacing w:before="0" w:after="16" w:line="240" w:lineRule="auto"/>
            </w:pPr>
            <w:r>
              <w:rPr>
                <w:rFonts w:ascii="Arial" w:hAnsi="Arial"/>
                <w:b/>
                <w:color w:val="141414"/>
                <w:sz w:val="16"/>
              </w:rPr>
              <w:t>Reimagining Intake</w:t>
            </w:r>
          </w:p>
          <w:p>
            <w:pPr>
              <w:spacing w:before="0" w:after="16" w:line="240" w:lineRule="auto"/>
            </w:pPr>
            <w:r>
              <w:rPr>
                <w:rFonts w:ascii="Arial" w:hAnsi="Arial"/>
                <w:b w:val="0"/>
                <w:color w:val="333333"/>
                <w:sz w:val="15"/>
              </w:rPr>
              <w:t>Defined a configurable AI-first intake experience that lets customers create branded forms, workflows, fields, and reporting experiences.</w:t>
            </w:r>
          </w:p>
          <w:p>
            <w:pPr>
              <w:spacing w:before="0" w:after="24" w:line="240" w:lineRule="auto"/>
            </w:pPr>
            <w:r>
              <w:rPr>
                <w:rFonts w:ascii="Arial" w:hAnsi="Arial"/>
                <w:b/>
                <w:color w:val="333333"/>
                <w:sz w:val="15"/>
              </w:rPr>
              <w:t>Product move: custom form builder, AI-assisted setup, workflow configuration, and migration path.</w:t>
            </w:r>
          </w:p>
        </w:tc>
      </w:tr>
      <w:tr>
        <w:tc>
          <w:tcPr>
            <w:tcW w:type="dxa" w:w="5069"/>
            <w:vAlign w:val="top"/>
            <w:shd w:fill="F3F6FB"/>
          </w:tcPr>
          <w:p/>
          <w:p>
            <w:pPr>
              <w:spacing w:before="30" w:after="12" w:line="240" w:lineRule="auto"/>
            </w:pPr>
            <w:r>
              <w:rPr>
                <w:rFonts w:ascii="Arial" w:hAnsi="Arial"/>
                <w:b/>
                <w:color w:val="233C73"/>
                <w:sz w:val="13"/>
              </w:rPr>
              <w:t>PLATFORM MODERNIZATION</w:t>
            </w:r>
          </w:p>
          <w:p>
            <w:pPr>
              <w:spacing w:before="0" w:after="16" w:line="240" w:lineRule="auto"/>
            </w:pPr>
            <w:r>
              <w:rPr>
                <w:rFonts w:ascii="Arial" w:hAnsi="Arial"/>
                <w:b/>
                <w:color w:val="141414"/>
                <w:sz w:val="16"/>
              </w:rPr>
              <w:t>Canonical Model &amp; Semantic Layer</w:t>
            </w:r>
          </w:p>
          <w:p>
            <w:pPr>
              <w:spacing w:before="0" w:after="16" w:line="240" w:lineRule="auto"/>
            </w:pPr>
            <w:r>
              <w:rPr>
                <w:rFonts w:ascii="Arial" w:hAnsi="Arial"/>
                <w:b w:val="0"/>
                <w:color w:val="333333"/>
                <w:sz w:val="15"/>
              </w:rPr>
              <w:t>Contributed to a prototype for modernizing a legacy product into a lighter, integrated AI-first platform with a shared data foundation.</w:t>
            </w:r>
          </w:p>
          <w:p>
            <w:pPr>
              <w:spacing w:before="0" w:after="24" w:line="240" w:lineRule="auto"/>
            </w:pPr>
            <w:r>
              <w:rPr>
                <w:rFonts w:ascii="Arial" w:hAnsi="Arial"/>
                <w:b/>
                <w:color w:val="333333"/>
                <w:sz w:val="15"/>
              </w:rPr>
              <w:t>Product move: canonical model, semantic layer, common database, and integrated product architecture.</w:t>
            </w:r>
          </w:p>
        </w:tc>
        <w:tc>
          <w:tcPr>
            <w:tcW w:type="dxa" w:w="5069"/>
            <w:vAlign w:val="top"/>
            <w:shd w:fill="F3F6FB"/>
          </w:tcPr>
          <w:p/>
          <w:p>
            <w:pPr>
              <w:spacing w:before="30" w:after="12" w:line="240" w:lineRule="auto"/>
            </w:pPr>
            <w:r>
              <w:rPr>
                <w:rFonts w:ascii="Arial" w:hAnsi="Arial"/>
                <w:b/>
                <w:color w:val="233C73"/>
                <w:sz w:val="13"/>
              </w:rPr>
              <w:t>GLOBAL EXPANSION</w:t>
            </w:r>
          </w:p>
          <w:p>
            <w:pPr>
              <w:spacing w:before="0" w:after="16" w:line="240" w:lineRule="auto"/>
            </w:pPr>
            <w:r>
              <w:rPr>
                <w:rFonts w:ascii="Arial" w:hAnsi="Arial"/>
                <w:b/>
                <w:color w:val="141414"/>
                <w:sz w:val="16"/>
              </w:rPr>
              <w:t>Localization &amp; Internationalization</w:t>
            </w:r>
          </w:p>
          <w:p>
            <w:pPr>
              <w:spacing w:before="0" w:after="16" w:line="240" w:lineRule="auto"/>
            </w:pPr>
            <w:r>
              <w:rPr>
                <w:rFonts w:ascii="Arial" w:hAnsi="Arial"/>
                <w:b w:val="0"/>
                <w:color w:val="333333"/>
                <w:sz w:val="15"/>
              </w:rPr>
              <w:t>Led product work to support multilingual experiences, regional formats, and translation workflows across a large enterprise application.</w:t>
            </w:r>
          </w:p>
          <w:p>
            <w:pPr>
              <w:spacing w:before="0" w:after="24" w:line="240" w:lineRule="auto"/>
            </w:pPr>
            <w:r>
              <w:rPr>
                <w:rFonts w:ascii="Arial" w:hAnsi="Arial"/>
                <w:b/>
                <w:color w:val="333333"/>
                <w:sz w:val="15"/>
              </w:rPr>
              <w:t>Product move: localization, internationalization, professional translation, machine translation, and cross-team delivery.</w:t>
            </w:r>
          </w:p>
        </w:tc>
      </w:tr>
    </w:tbl>
    <w:p>
      <w:pPr>
        <w:spacing w:before="140" w:after="50" w:line="240" w:lineRule="auto"/>
      </w:pPr>
      <w:r>
        <w:rPr>
          <w:rFonts w:ascii="Arial" w:hAnsi="Arial"/>
          <w:b/>
          <w:color w:val="233C73"/>
          <w:sz w:val="19"/>
        </w:rPr>
        <w:t>EXPERIENCE</w:t>
      </w:r>
    </w:p>
    <w:p>
      <w:pPr>
        <w:spacing w:before="60" w:after="16" w:line="240" w:lineRule="auto"/>
      </w:pPr>
      <w:r>
        <w:rPr>
          <w:rFonts w:ascii="Arial" w:hAnsi="Arial"/>
          <w:b/>
          <w:color w:val="141414"/>
          <w:sz w:val="17"/>
        </w:rPr>
        <w:t>Associate Product Manager</w:t>
      </w:r>
      <w:r>
        <w:rPr>
          <w:rFonts w:ascii="Arial" w:hAnsi="Arial"/>
          <w:b w:val="0"/>
          <w:color w:val="555555"/>
          <w:sz w:val="16"/>
        </w:rPr>
        <w:t xml:space="preserve"> | NAVEX | Jan 2026 - Present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Own localization and internationalization capabilities for European, DACH, and Japanese markets across a large, multi-module enterprise product.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Led product-wide translation, date, time, number, name, and regional-format localization with professional and machine translation workflows.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Supported expansion into Japan and DACH, including enterprise customers such as Mitsubishi and Hitachi, contributing to $500K in incremental bookings.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Shaped AI Case Insights to scan evidence, extract key facts, build timelines, and draft investigation reports for human review.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Defined AI-first configurable intake workflows to reduce legacy onboarding from 3-5 weeks toward a 2-3 day setup experience.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Contributed to a canonical model and semantic layer prototype for modernizing a 15-year-old legacy product into an integrated AI-first platform.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Partner with Schneider Electric, Ross, BNP Paribas, and other enterprise customers on AI solutioning, adoption, and product feedback.</w:t>
      </w:r>
    </w:p>
    <w:p>
      <w:pPr>
        <w:spacing w:before="40" w:after="16" w:line="240" w:lineRule="auto"/>
      </w:pPr>
      <w:r>
        <w:rPr>
          <w:rFonts w:ascii="Arial" w:hAnsi="Arial"/>
          <w:b/>
          <w:color w:val="141414"/>
          <w:sz w:val="17"/>
        </w:rPr>
        <w:t>Senior Product Owner</w:t>
      </w:r>
      <w:r>
        <w:rPr>
          <w:rFonts w:ascii="Arial" w:hAnsi="Arial"/>
          <w:b w:val="0"/>
          <w:color w:val="555555"/>
          <w:sz w:val="16"/>
        </w:rPr>
        <w:t xml:space="preserve"> | GlobalLogic for NAVEX | Apr 2024 - Dec 2025</w:t>
      </w:r>
    </w:p>
    <w:p>
      <w:pPr>
        <w:spacing w:before="40" w:after="16" w:line="240" w:lineRule="auto"/>
      </w:pPr>
      <w:r>
        <w:rPr>
          <w:rFonts w:ascii="Arial" w:hAnsi="Arial"/>
          <w:b/>
          <w:color w:val="141414"/>
          <w:sz w:val="17"/>
        </w:rPr>
        <w:t>Product Owner</w:t>
      </w:r>
      <w:r>
        <w:rPr>
          <w:rFonts w:ascii="Arial" w:hAnsi="Arial"/>
          <w:b w:val="0"/>
          <w:color w:val="555555"/>
          <w:sz w:val="16"/>
        </w:rPr>
        <w:t xml:space="preserve"> | NAVEX | Nov 2022 - Apr 2024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Managed roadmap execution for EthicsPoint and case management modules across enterprise compliance workflows.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Defined product requirements, user stories, acceptance criteria, wireframes, and process flows for cross-functional teams.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Conducted stakeholder demos, feedback sessions, and post-release reviews to improve usability and responsiveness.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Led Agile execution across grooming, sprint planning, standups, reviews, and retrospectives to support timely delivery.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Translated customer and business needs into scalable product improvements across GRC product areas.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Supported core EthicsPoint product areas while partnering with NAVEX stakeholders across requirements, delivery, and adoption.</w:t>
      </w:r>
    </w:p>
    <w:p>
      <w:pPr>
        <w:spacing w:before="40" w:after="16" w:line="240" w:lineRule="auto"/>
      </w:pPr>
      <w:r>
        <w:rPr>
          <w:rFonts w:ascii="Arial" w:hAnsi="Arial"/>
          <w:b/>
          <w:color w:val="141414"/>
          <w:sz w:val="17"/>
        </w:rPr>
        <w:t>Product Owner</w:t>
      </w:r>
      <w:r>
        <w:rPr>
          <w:rFonts w:ascii="Arial" w:hAnsi="Arial"/>
          <w:b w:val="0"/>
          <w:color w:val="555555"/>
          <w:sz w:val="16"/>
        </w:rPr>
        <w:t xml:space="preserve"> | Adobe, Contract | Feb 2022 - Nov 2022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Managed a marketing communication tool responsible for Adobe SMS campaign workflows.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Oversaw product transition and backlog management for SaaS products.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Created user stories, wireframes, and MVP initiatives to optimize cost and delivery.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Supported customer onboarding, product adoption, and system monitoring using Splunk.</w:t>
      </w:r>
    </w:p>
    <w:p>
      <w:pPr>
        <w:spacing w:before="40" w:after="16" w:line="240" w:lineRule="auto"/>
      </w:pPr>
      <w:r>
        <w:rPr>
          <w:rFonts w:ascii="Arial" w:hAnsi="Arial"/>
          <w:b/>
          <w:color w:val="141414"/>
          <w:sz w:val="17"/>
        </w:rPr>
        <w:t>Technical Project Manager</w:t>
      </w:r>
      <w:r>
        <w:rPr>
          <w:rFonts w:ascii="Arial" w:hAnsi="Arial"/>
          <w:b w:val="0"/>
          <w:color w:val="555555"/>
          <w:sz w:val="16"/>
        </w:rPr>
        <w:t xml:space="preserve"> | Plate IQ | Aug 2020 - Feb 2022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Managed an accounts payable product supporting finance and operational workflows.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Led Scrum adoption and sprint execution across globally distributed engineering teams.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Coordinated backlog prioritization and release planning aligned with product vision and roadmap.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Built UX flows and supported delivery planning for product initiatives.</w:t>
      </w:r>
    </w:p>
    <w:p>
      <w:pPr>
        <w:spacing w:before="40" w:after="16" w:line="240" w:lineRule="auto"/>
      </w:pPr>
      <w:r>
        <w:rPr>
          <w:rFonts w:ascii="Arial" w:hAnsi="Arial"/>
          <w:b/>
          <w:color w:val="141414"/>
          <w:sz w:val="17"/>
        </w:rPr>
        <w:t>Senior Market Manager</w:t>
      </w:r>
      <w:r>
        <w:rPr>
          <w:rFonts w:ascii="Arial" w:hAnsi="Arial"/>
          <w:b w:val="0"/>
          <w:color w:val="555555"/>
          <w:sz w:val="16"/>
        </w:rPr>
        <w:t xml:space="preserve"> | GlowRoad | Jul 2019 - May 2020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Owned end-to-end digital marketing with a monthly budget of over INR 3 crore.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Increased orders from 18K per day to 30K per day within 4-6 months.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Served as part of the core team during the Series B fundraising period, reporting to the CEO.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Organized user focus group studies and used insights to support user experience development.</w:t>
      </w:r>
    </w:p>
    <w:p>
      <w:pPr>
        <w:spacing w:before="40" w:after="16" w:line="240" w:lineRule="auto"/>
      </w:pPr>
      <w:r>
        <w:rPr>
          <w:rFonts w:ascii="Arial" w:hAnsi="Arial"/>
          <w:b/>
          <w:color w:val="141414"/>
          <w:sz w:val="17"/>
        </w:rPr>
        <w:t>Entrepreneur</w:t>
      </w:r>
      <w:r>
        <w:rPr>
          <w:rFonts w:ascii="Arial" w:hAnsi="Arial"/>
          <w:b w:val="0"/>
          <w:color w:val="555555"/>
          <w:sz w:val="16"/>
        </w:rPr>
        <w:t xml:space="preserve"> | Independent ventures and growth hacking agency | Jul 2015 - Jun 2019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Explored startup ideas across IT services, an app for pets, a startup magazine, and growth hacking solutions.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Successfully ran a growth hacking agency for 3 years, serving clients across healthcare, education, restaurants, entertainment, real estate, and other domains.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Worked with notable brands and businesses including Alliance University, Sobha Builders, pubs in Bangalore, CricTracker, and Remidio.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Created BRDs, PRDs, campaign plans, and delivery workflows while training teams and improving execution predictability.</w:t>
      </w:r>
    </w:p>
    <w:p>
      <w:pPr>
        <w:spacing w:before="40" w:after="16" w:line="240" w:lineRule="auto"/>
      </w:pPr>
      <w:r>
        <w:rPr>
          <w:rFonts w:ascii="Arial" w:hAnsi="Arial"/>
          <w:b/>
          <w:color w:val="141414"/>
          <w:sz w:val="17"/>
        </w:rPr>
        <w:t>Business Analyst and Scrum Master</w:t>
      </w:r>
      <w:r>
        <w:rPr>
          <w:rFonts w:ascii="Arial" w:hAnsi="Arial"/>
          <w:b w:val="0"/>
          <w:color w:val="555555"/>
          <w:sz w:val="16"/>
        </w:rPr>
        <w:t xml:space="preserve"> | Suyati Technologies | Jul 2013 - May 2015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Supported business analysis, Agile ceremonies, requirement documentation, and stakeholder communication.</w:t>
      </w:r>
    </w:p>
    <w:p>
      <w:pPr>
        <w:spacing w:before="140" w:after="50" w:line="240" w:lineRule="auto"/>
      </w:pPr>
      <w:r>
        <w:rPr>
          <w:rFonts w:ascii="Arial" w:hAnsi="Arial"/>
          <w:b/>
          <w:color w:val="233C73"/>
          <w:sz w:val="19"/>
        </w:rPr>
        <w:t>SELECTED STRENGTHS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Roadmap to GTM: experienced across product roadmaps, prioritization, prototyping, GTM planning, customer engagement, sales engagement, and delivery.</w:t>
      </w:r>
    </w:p>
    <w:p>
      <w:pPr>
        <w:pStyle w:val="ListBullet"/>
        <w:spacing w:after="24" w:line="240" w:lineRule="auto"/>
        <w:ind w:left="259" w:hanging="144"/>
      </w:pPr>
      <w:r>
        <w:rPr>
          <w:rFonts w:ascii="Arial" w:hAnsi="Arial"/>
          <w:b w:val="0"/>
          <w:color w:val="333333"/>
          <w:sz w:val="16"/>
        </w:rPr>
        <w:t>Growth-backed product thinking: hands-on experience in acquisition, user research, funnel improvement, and growth execution across high-scale consumer and B2B contexts.</w:t>
      </w:r>
    </w:p>
    <w:p>
      <w:pPr>
        <w:spacing w:before="140" w:after="50" w:line="240" w:lineRule="auto"/>
      </w:pPr>
      <w:r>
        <w:rPr>
          <w:rFonts w:ascii="Arial" w:hAnsi="Arial"/>
          <w:b/>
          <w:color w:val="233C73"/>
          <w:sz w:val="19"/>
        </w:rPr>
        <w:t>CORE SKILLS</w:t>
      </w:r>
    </w:p>
    <w:p>
      <w:pPr>
        <w:spacing w:before="0" w:after="24" w:line="240" w:lineRule="auto"/>
      </w:pPr>
      <w:r>
        <w:rPr>
          <w:rFonts w:ascii="Arial" w:hAnsi="Arial"/>
          <w:b/>
          <w:color w:val="141414"/>
          <w:sz w:val="16"/>
        </w:rPr>
        <w:t xml:space="preserve">Product: </w:t>
      </w:r>
      <w:r>
        <w:rPr>
          <w:rFonts w:ascii="Arial" w:hAnsi="Arial"/>
          <w:b w:val="0"/>
          <w:color w:val="333333"/>
          <w:sz w:val="16"/>
        </w:rPr>
        <w:t>Roadmapping, Discovery, Prioritization, PRDs, GTM, Customer communication, AI workflow design</w:t>
      </w:r>
    </w:p>
    <w:p>
      <w:pPr>
        <w:spacing w:before="0" w:after="24" w:line="240" w:lineRule="auto"/>
      </w:pPr>
      <w:r>
        <w:rPr>
          <w:rFonts w:ascii="Arial" w:hAnsi="Arial"/>
          <w:b/>
          <w:color w:val="141414"/>
          <w:sz w:val="16"/>
        </w:rPr>
        <w:t xml:space="preserve">Domains: </w:t>
      </w:r>
      <w:r>
        <w:rPr>
          <w:rFonts w:ascii="Arial" w:hAnsi="Arial"/>
          <w:b w:val="0"/>
          <w:color w:val="333333"/>
          <w:sz w:val="16"/>
        </w:rPr>
        <w:t>GRC, Ethics &amp; Compliance, Localization, Internationalization, AI workflows, Semantic layer, Enterprise SaaS, E-commerce</w:t>
      </w:r>
    </w:p>
    <w:p>
      <w:pPr>
        <w:spacing w:before="0" w:after="24" w:line="240" w:lineRule="auto"/>
      </w:pPr>
      <w:r>
        <w:rPr>
          <w:rFonts w:ascii="Arial" w:hAnsi="Arial"/>
          <w:b/>
          <w:color w:val="141414"/>
          <w:sz w:val="16"/>
        </w:rPr>
        <w:t xml:space="preserve">Execution: </w:t>
      </w:r>
      <w:r>
        <w:rPr>
          <w:rFonts w:ascii="Arial" w:hAnsi="Arial"/>
          <w:b w:val="0"/>
          <w:color w:val="333333"/>
          <w:sz w:val="16"/>
        </w:rPr>
        <w:t>Agile/Scrum, Prototyping, Stakeholder demos, UX collaboration, Customer solutioning, AI prototyping</w:t>
      </w:r>
    </w:p>
    <w:p>
      <w:pPr>
        <w:spacing w:before="0" w:after="24" w:line="240" w:lineRule="auto"/>
      </w:pPr>
      <w:r>
        <w:rPr>
          <w:rFonts w:ascii="Arial" w:hAnsi="Arial"/>
          <w:b/>
          <w:color w:val="141414"/>
          <w:sz w:val="16"/>
        </w:rPr>
        <w:t xml:space="preserve">Tools: </w:t>
      </w:r>
      <w:r>
        <w:rPr>
          <w:rFonts w:ascii="Arial" w:hAnsi="Arial"/>
          <w:b w:val="0"/>
          <w:color w:val="333333"/>
          <w:sz w:val="16"/>
        </w:rPr>
        <w:t>Jira, Confluence, Figma, Miro, Aha!, Mixpanel, Pendo, Notion, GitHub, NotebookLM, CleverTap, Splunk, Claude Code/Design, Codex</w:t>
      </w:r>
    </w:p>
    <w:p>
      <w:pPr>
        <w:spacing w:before="140" w:after="50" w:line="240" w:lineRule="auto"/>
      </w:pPr>
      <w:r>
        <w:rPr>
          <w:rFonts w:ascii="Arial" w:hAnsi="Arial"/>
          <w:b/>
          <w:color w:val="233C73"/>
          <w:sz w:val="19"/>
        </w:rPr>
        <w:t>EDUCATION</w:t>
      </w:r>
    </w:p>
    <w:p>
      <w:pPr>
        <w:spacing w:before="0" w:after="24" w:line="240" w:lineRule="auto"/>
      </w:pPr>
      <w:r>
        <w:rPr>
          <w:rFonts w:ascii="Arial" w:hAnsi="Arial"/>
          <w:b/>
          <w:color w:val="141414"/>
          <w:sz w:val="16"/>
        </w:rPr>
        <w:t xml:space="preserve">PGDM: </w:t>
      </w:r>
      <w:r>
        <w:rPr>
          <w:rFonts w:ascii="Arial" w:hAnsi="Arial"/>
          <w:b w:val="0"/>
          <w:color w:val="333333"/>
          <w:sz w:val="16"/>
        </w:rPr>
        <w:t>Systems &amp; Operations, Marketing, SCMS Cochin School of Business</w:t>
      </w:r>
    </w:p>
    <w:p>
      <w:pPr>
        <w:spacing w:before="0" w:after="24" w:line="240" w:lineRule="auto"/>
      </w:pPr>
      <w:r>
        <w:rPr>
          <w:rFonts w:ascii="Arial" w:hAnsi="Arial"/>
          <w:b/>
          <w:color w:val="141414"/>
          <w:sz w:val="16"/>
        </w:rPr>
        <w:t xml:space="preserve">B.Sc.: </w:t>
      </w:r>
      <w:r>
        <w:rPr>
          <w:rFonts w:ascii="Arial" w:hAnsi="Arial"/>
          <w:b w:val="0"/>
          <w:color w:val="333333"/>
          <w:sz w:val="16"/>
        </w:rPr>
        <w:t>Information Technology, Dr. GRD College of Science</w:t>
      </w:r>
    </w:p>
    <w:sectPr w:rsidR="00FC693F" w:rsidRPr="0006063C" w:rsidSect="00034616">
      <w:pgSz w:w="12240" w:h="15840"/>
      <w:pgMar w:top="605" w:right="691" w:bottom="60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